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9CA8C2">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1B41F6C1">
      <w:pPr>
        <w:spacing w:line="540" w:lineRule="exact"/>
        <w:jc w:val="center"/>
        <w:rPr>
          <w:rFonts w:ascii="方正小标宋_GBK" w:hAnsi="华文中宋" w:eastAsia="方正小标宋_GBK" w:cs="宋体"/>
          <w:b/>
          <w:kern w:val="0"/>
          <w:sz w:val="48"/>
          <w:szCs w:val="48"/>
        </w:rPr>
      </w:pPr>
    </w:p>
    <w:p w14:paraId="01BEE35F">
      <w:pPr>
        <w:spacing w:line="540" w:lineRule="exact"/>
        <w:jc w:val="center"/>
        <w:rPr>
          <w:rFonts w:ascii="方正小标宋_GBK" w:hAnsi="华文中宋" w:eastAsia="方正小标宋_GBK" w:cs="宋体"/>
          <w:b/>
          <w:kern w:val="0"/>
          <w:sz w:val="48"/>
          <w:szCs w:val="48"/>
        </w:rPr>
      </w:pPr>
    </w:p>
    <w:p w14:paraId="33551A08">
      <w:pPr>
        <w:spacing w:line="540" w:lineRule="exact"/>
        <w:jc w:val="center"/>
        <w:rPr>
          <w:rFonts w:ascii="方正小标宋_GBK" w:hAnsi="华文中宋" w:eastAsia="方正小标宋_GBK" w:cs="宋体"/>
          <w:b/>
          <w:kern w:val="0"/>
          <w:sz w:val="48"/>
          <w:szCs w:val="48"/>
        </w:rPr>
      </w:pPr>
    </w:p>
    <w:p w14:paraId="5B4749B0">
      <w:pPr>
        <w:spacing w:line="540" w:lineRule="exact"/>
        <w:jc w:val="center"/>
        <w:rPr>
          <w:rFonts w:ascii="方正小标宋_GBK" w:hAnsi="华文中宋" w:eastAsia="方正小标宋_GBK" w:cs="宋体"/>
          <w:b/>
          <w:kern w:val="0"/>
          <w:sz w:val="48"/>
          <w:szCs w:val="48"/>
        </w:rPr>
      </w:pPr>
    </w:p>
    <w:p w14:paraId="4E720BC2">
      <w:pPr>
        <w:spacing w:line="540" w:lineRule="exact"/>
        <w:jc w:val="center"/>
        <w:rPr>
          <w:rFonts w:ascii="方正小标宋_GBK" w:hAnsi="华文中宋" w:eastAsia="方正小标宋_GBK" w:cs="宋体"/>
          <w:b/>
          <w:kern w:val="0"/>
          <w:sz w:val="48"/>
          <w:szCs w:val="48"/>
        </w:rPr>
      </w:pPr>
    </w:p>
    <w:p w14:paraId="391BE08A">
      <w:pPr>
        <w:spacing w:line="540" w:lineRule="exact"/>
        <w:jc w:val="center"/>
        <w:rPr>
          <w:rFonts w:ascii="方正小标宋_GBK" w:hAnsi="华文中宋" w:eastAsia="方正小标宋_GBK" w:cs="宋体"/>
          <w:b/>
          <w:kern w:val="0"/>
          <w:sz w:val="48"/>
          <w:szCs w:val="48"/>
        </w:rPr>
      </w:pPr>
    </w:p>
    <w:p w14:paraId="788331C7">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63601C96">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0D96FADC">
      <w:pPr>
        <w:spacing w:line="540" w:lineRule="exact"/>
        <w:jc w:val="center"/>
        <w:rPr>
          <w:rFonts w:ascii="华文中宋" w:hAnsi="华文中宋" w:eastAsia="华文中宋" w:cs="宋体"/>
          <w:b/>
          <w:kern w:val="0"/>
          <w:sz w:val="52"/>
          <w:szCs w:val="52"/>
        </w:rPr>
      </w:pPr>
    </w:p>
    <w:p w14:paraId="15EC3201">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3EE96633">
      <w:pPr>
        <w:spacing w:line="700" w:lineRule="exact"/>
        <w:jc w:val="left"/>
        <w:rPr>
          <w:rFonts w:hint="eastAsia" w:hAnsi="宋体" w:eastAsia="仿宋_GB2312" w:cs="宋体"/>
          <w:kern w:val="0"/>
          <w:sz w:val="36"/>
          <w:szCs w:val="36"/>
        </w:rPr>
      </w:pPr>
    </w:p>
    <w:p w14:paraId="63C1B263">
      <w:pPr>
        <w:spacing w:line="700" w:lineRule="exact"/>
        <w:jc w:val="left"/>
        <w:rPr>
          <w:rFonts w:hint="eastAsia" w:hAnsi="宋体" w:eastAsia="仿宋_GB2312" w:cs="宋体"/>
          <w:kern w:val="0"/>
          <w:sz w:val="36"/>
          <w:szCs w:val="36"/>
        </w:rPr>
      </w:pPr>
    </w:p>
    <w:p w14:paraId="73356360">
      <w:pPr>
        <w:spacing w:line="700" w:lineRule="exact"/>
        <w:jc w:val="left"/>
        <w:rPr>
          <w:rFonts w:hint="eastAsia" w:hAnsi="宋体" w:eastAsia="仿宋_GB2312" w:cs="宋体"/>
          <w:kern w:val="0"/>
          <w:sz w:val="36"/>
          <w:szCs w:val="36"/>
          <w:lang w:eastAsia="zh-CN"/>
        </w:rPr>
      </w:pPr>
    </w:p>
    <w:p w14:paraId="7C7B31DE">
      <w:pPr>
        <w:spacing w:line="700" w:lineRule="exact"/>
        <w:jc w:val="left"/>
        <w:rPr>
          <w:rFonts w:hint="eastAsia" w:hAnsi="宋体" w:eastAsia="仿宋_GB2312" w:cs="宋体"/>
          <w:kern w:val="0"/>
          <w:sz w:val="36"/>
          <w:szCs w:val="36"/>
          <w:lang w:eastAsia="zh-CN"/>
        </w:rPr>
      </w:pPr>
    </w:p>
    <w:p w14:paraId="0C44299F">
      <w:pPr>
        <w:spacing w:line="700" w:lineRule="exact"/>
        <w:jc w:val="left"/>
        <w:rPr>
          <w:rFonts w:hint="eastAsia" w:hAnsi="宋体" w:eastAsia="仿宋_GB2312" w:cs="宋体"/>
          <w:kern w:val="0"/>
          <w:sz w:val="36"/>
          <w:szCs w:val="36"/>
          <w:lang w:eastAsia="zh-CN"/>
        </w:rPr>
      </w:pPr>
    </w:p>
    <w:p w14:paraId="7339B58C">
      <w:pPr>
        <w:spacing w:line="700" w:lineRule="exact"/>
        <w:jc w:val="left"/>
        <w:rPr>
          <w:rFonts w:hint="eastAsia" w:hAnsi="宋体" w:eastAsia="仿宋_GB2312" w:cs="宋体"/>
          <w:kern w:val="0"/>
          <w:sz w:val="36"/>
          <w:szCs w:val="36"/>
          <w:lang w:eastAsia="zh-CN"/>
        </w:rPr>
      </w:pPr>
    </w:p>
    <w:p w14:paraId="4B80CB15">
      <w:pPr>
        <w:spacing w:line="540" w:lineRule="exact"/>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克州政协</w:t>
      </w:r>
    </w:p>
    <w:p w14:paraId="25066AA5">
      <w:pPr>
        <w:spacing w:line="540" w:lineRule="exact"/>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14:paraId="4A8859CF">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1D852C53">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083E2713">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政协机关负责政协自治州委员会全体会议、常务委员会议、主席会议、专题会议和各专门委员会会务工作；组织实施政协的各类会议，党组会议，主席会议的决议、决定；负责委员的视察、参观、调研、学习等日常活动的各项服务和组织工作；负责政协工作情况的宣传报到，收集反映各界人士的意见和建议；负责联系各县、市政协和州党委、政府有关部门，相互配合、协调工作；负责州政协开展各项工作的后勤保障和服务。</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克州政协机关编制人数32人，其中：行政人员编制19人、工勤6人、事业编制7人。实有在职人数28人，其中：行政在职19人、工勤4人、事业在职5人。离退休人员44人。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p>
    <w:p w14:paraId="5E4F355F">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　　一年来,政协机关党组紧紧围绕社会稳定和长治久安总目标，紧扣州政协中心工作，坚持围绕中心服务大局，充分发挥参谋助手作用，认真做好重要会议、调研视察等服务保障工作，为政协履职提供了有力保障。</w:t>
      </w:r>
      <w:r>
        <w:rPr>
          <w:rFonts w:hint="eastAsia" w:ascii="仿宋_GB2312" w:hAnsi="宋体" w:eastAsia="仿宋_GB2312"/>
          <w:b w:val="0"/>
          <w:bCs/>
          <w:sz w:val="32"/>
          <w:szCs w:val="32"/>
        </w:rPr>
        <w:cr/>
      </w:r>
      <w:r>
        <w:rPr>
          <w:rFonts w:hint="eastAsia" w:ascii="仿宋_GB2312" w:hAnsi="宋体" w:eastAsia="仿宋_GB2312"/>
          <w:b w:val="0"/>
          <w:bCs/>
          <w:sz w:val="32"/>
          <w:szCs w:val="32"/>
        </w:rPr>
        <w:t>　　（1）认真服务好各项会议活动。一是全力做好州政协十三届五次会议、十四届一次会议筹备和会务工作，较好地完成会议材料的起草和印制、会务组织、后勤服务等各项工作，保证会议圆满召开。二是筹备服务州政协十三届常委会议4次，季度协商会4次，政协党组会议、党组（扩大）会议11次，庆祝中国共产党成立100周年党建研讨会1次。</w:t>
      </w:r>
      <w:r>
        <w:rPr>
          <w:rFonts w:hint="eastAsia" w:ascii="仿宋_GB2312" w:hAnsi="宋体" w:eastAsia="仿宋_GB2312"/>
          <w:b w:val="0"/>
          <w:bCs/>
          <w:sz w:val="32"/>
          <w:szCs w:val="32"/>
        </w:rPr>
        <w:cr/>
      </w:r>
      <w:r>
        <w:rPr>
          <w:rFonts w:hint="eastAsia" w:ascii="仿宋_GB2312" w:hAnsi="宋体" w:eastAsia="仿宋_GB2312"/>
          <w:b w:val="0"/>
          <w:bCs/>
          <w:sz w:val="32"/>
          <w:szCs w:val="32"/>
        </w:rPr>
        <w:t>　　（2）精心组织好协商议政活动。认真落实年度协商计划，协调组织筹备4次专题议政性常委会和4次季度协商座谈会。及时修改完善调研报告8篇，并上报州委。一是做好聚焦社会稳定和长治久安的重大问题建言献策的协调服务。二是做好聚焦民生改善的关键问题协商资政的协调服务。三是做好聚焦经济发展的突出问题议政建言的协调服务。</w:t>
      </w:r>
      <w:r>
        <w:rPr>
          <w:rFonts w:hint="eastAsia" w:ascii="仿宋_GB2312" w:hAnsi="宋体" w:eastAsia="仿宋_GB2312"/>
          <w:b w:val="0"/>
          <w:bCs/>
          <w:sz w:val="32"/>
          <w:szCs w:val="32"/>
        </w:rPr>
        <w:cr/>
      </w:r>
      <w:r>
        <w:rPr>
          <w:rFonts w:hint="eastAsia" w:ascii="仿宋_GB2312" w:hAnsi="宋体" w:eastAsia="仿宋_GB2312"/>
          <w:b w:val="0"/>
          <w:bCs/>
          <w:sz w:val="32"/>
          <w:szCs w:val="32"/>
        </w:rPr>
        <w:t>　　（3）加强提案工作，强化协调服务。各族各界政协委员共提出提案101件，经审查合并立案65件，目前立案的提案已全部办理完毕。此外，累计协调20多名政协委员参加“检察开放日”、法院庭审、“共青团与人大代表、政协委员面对面”等活动，广泛开展民主监督，促进相关部门改进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加强协调联动，推动工作落实。积极配合自治区政协开展调研活动，报送调研报告6篇，报送社情民意20余篇。加强政协理论研究工作，报送理论文章2篇。加强宣传工作，向自治区政协网、亚洲中心时报、“新疆政协”微信公众号等平台报送重点工作信息30余篇，被采纳15篇。协同县（市）政协开展联合调研10次，推动州、县（市）政协工作在新时代协同发展，取得新成效。</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加强沟通联系，广泛凝聚共识。一是加强与政协委员的沟通联系，加强思想政治引领，广泛凝聚共识。二是召开“全州政协系统党建工作专题研讨会”、季度协商座谈会等9次，印发学习资料400余份，培训区州县（市）政协委员580余人次。三是健全沟通联络机制，进一步巩固团结奋斗的共同思想政治基础。</w:t>
      </w:r>
      <w:r>
        <w:rPr>
          <w:rFonts w:hint="eastAsia" w:ascii="仿宋_GB2312" w:hAnsi="宋体" w:eastAsia="仿宋_GB2312"/>
          <w:b w:val="0"/>
          <w:bCs/>
          <w:sz w:val="32"/>
          <w:szCs w:val="32"/>
        </w:rPr>
        <w:cr/>
      </w:r>
      <w:r>
        <w:rPr>
          <w:rFonts w:hint="eastAsia" w:ascii="仿宋_GB2312" w:hAnsi="宋体" w:eastAsia="仿宋_GB2312"/>
          <w:b w:val="0"/>
          <w:bCs/>
          <w:sz w:val="32"/>
          <w:szCs w:val="32"/>
        </w:rPr>
        <w:t>　　（6）在人力、物力、财力方面大力支持驻村工作队工作。投入2万元帮助驻村工作队购买办公设备和办公用品，投入2万元帮助驻村工作队开展我为群众办实事好事，协助驻村工作队开展投资17万元的道路、闸口、桥涵等建设。</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部门项目的立项依据充分，符合相关法规政策及部门职责，依据充分。符合行业发展和政策要求，与部门职责范围相符，属于部门履职所需。符合中央、地方事权支出责任划分原则。</w:t>
      </w:r>
      <w:r>
        <w:rPr>
          <w:rFonts w:hint="eastAsia" w:ascii="仿宋_GB2312" w:hAnsi="宋体" w:eastAsia="仿宋_GB2312"/>
          <w:b w:val="0"/>
          <w:bCs/>
          <w:sz w:val="32"/>
          <w:szCs w:val="32"/>
        </w:rPr>
        <w:cr/>
      </w:r>
      <w:r>
        <w:rPr>
          <w:rFonts w:hint="eastAsia" w:ascii="仿宋_GB2312" w:hAnsi="宋体" w:eastAsia="仿宋_GB2312"/>
          <w:b w:val="0"/>
          <w:bCs/>
          <w:sz w:val="32"/>
          <w:szCs w:val="32"/>
        </w:rPr>
        <w:t>　　部门项目立项程序规范，项目严格按照规定的程序申请设立；审批文件、材料符合相关要求；项目前期已经过必要的可行性研究、风险评估、绩效评估、集体决策。</w:t>
      </w:r>
      <w:r>
        <w:rPr>
          <w:rFonts w:hint="eastAsia" w:ascii="仿宋_GB2312" w:hAnsi="宋体" w:eastAsia="仿宋_GB2312"/>
          <w:b w:val="0"/>
          <w:bCs/>
          <w:sz w:val="32"/>
          <w:szCs w:val="32"/>
        </w:rPr>
        <w:cr/>
      </w:r>
      <w:r>
        <w:rPr>
          <w:rFonts w:hint="eastAsia" w:ascii="仿宋_GB2312" w:hAnsi="宋体" w:eastAsia="仿宋_GB2312"/>
          <w:b w:val="0"/>
          <w:bCs/>
          <w:sz w:val="32"/>
          <w:szCs w:val="32"/>
        </w:rPr>
        <w:t>　　部门整体绩效目标设置合理，根据相关文件要求设置了整体绩效目标，整体项目绩效目标基本合理，与实际工作内容相关；预期产出效益和效果符合正常的业绩水平；与预算确定的项目投资额或资金量相匹配。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部门整体绩效指标明确，已将整体项目绩效目标细化分解为具体的绩效指标；可以通过清晰、可衡量的指标值予以体现；与整体项目目标任务数或计划数相对应。</w:t>
      </w:r>
      <w:r>
        <w:rPr>
          <w:rFonts w:hint="eastAsia" w:ascii="仿宋_GB2312" w:hAnsi="宋体" w:eastAsia="仿宋_GB2312"/>
          <w:b w:val="0"/>
          <w:bCs/>
          <w:sz w:val="32"/>
          <w:szCs w:val="32"/>
        </w:rPr>
        <w:cr/>
      </w:r>
      <w:r>
        <w:rPr>
          <w:rFonts w:hint="eastAsia" w:ascii="仿宋_GB2312" w:hAnsi="宋体" w:eastAsia="仿宋_GB2312"/>
          <w:b w:val="0"/>
          <w:bCs/>
          <w:sz w:val="32"/>
          <w:szCs w:val="32"/>
        </w:rPr>
        <w:t>　　预算编制科学，整体项目在资金投入方面，预算编制经过科学论证、有明确标准，资金额度与年度目标相适应，用以反映和考核项目预算编制的科学性、合理性情况。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资金分配合理，整体项目预算资金分配有测算依据，资金分配额度合理，与部门单位的实际情况相适应。</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综上，我单位本年各项工作能够做到部门项目的立项依据充分，部门项目立项程序规范，绩效目标设置合理，预算编制科学有效，资金分配合理。决策过程科学规范、实施有效。</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（三）项目资金分配</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部门单位年初根据单位职能及工作计划按照“量入为出、收支平衡”的原则，编制部门预算。基本支出预算由工资福利支出、商品和服务支出、对个人和家庭的补助支出三部分构成；项目支出预算按期支出性质分为公共管理事务类项目和发展建设类项目。公共管理事务类项目反映用于社会管理、公共事业发展、社会保障等方面的项目资金。发展建设类项目反映用于城乡公共基础设施和社会事业建设与维护等方面的项目资金。合理规范编制部门预算，分配依据充分。</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预算编制和分配符合部门职责和任务要求，能根据年度工作重点，在不同项目、不同用途之间进行合理分配。整体绩效目标与预算确定的资金相匹配。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重点支出保障率用以反映和考核部门（单位）对履行主要职责或完成重点任务的保障程度。我单位本年主要实施基层政协补助等重点项目，履行了政协的</w:t>
      </w:r>
      <w:r>
        <w:rPr>
          <w:rFonts w:hint="eastAsia" w:ascii="仿宋_GB2312" w:hAnsi="宋体" w:eastAsia="仿宋_GB2312"/>
          <w:b w:val="0"/>
          <w:bCs/>
          <w:sz w:val="32"/>
          <w:szCs w:val="32"/>
          <w:lang w:eastAsia="zh-CN"/>
        </w:rPr>
        <w:t>主要</w:t>
      </w:r>
      <w:r>
        <w:rPr>
          <w:rFonts w:hint="eastAsia" w:ascii="仿宋_GB2312" w:hAnsi="宋体" w:eastAsia="仿宋_GB2312"/>
          <w:b w:val="0"/>
          <w:bCs/>
          <w:sz w:val="32"/>
          <w:szCs w:val="32"/>
        </w:rPr>
        <w:t>职责。</w:t>
      </w:r>
      <w:r>
        <w:rPr>
          <w:rFonts w:hint="eastAsia" w:ascii="仿宋_GB2312" w:hAnsi="宋体" w:eastAsia="仿宋_GB2312"/>
          <w:b w:val="0"/>
          <w:bCs/>
          <w:sz w:val="32"/>
          <w:szCs w:val="32"/>
        </w:rPr>
        <w:cr/>
      </w:r>
      <w:r>
        <w:rPr>
          <w:rFonts w:hint="eastAsia" w:ascii="仿宋_GB2312" w:hAnsi="宋体" w:eastAsia="仿宋_GB2312"/>
          <w:b w:val="0"/>
          <w:bCs/>
          <w:sz w:val="32"/>
          <w:szCs w:val="32"/>
        </w:rPr>
        <w:t>　　本年度预算安排的重点项目支出15万元，项目总支出34万元，重点支出保障率为44.12%。</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1.预算执行情况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（1）年初预算执行情况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我单位年初预算数为648.05万元，实际预算执行数648.05万元，预算执行率为100%。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（2）全年预算执行情况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全年预算数为797.06万元，全年实际支出资金795.55万元，预算执行率为99.81%。</w:t>
      </w:r>
      <w:r>
        <w:rPr>
          <w:rFonts w:hint="eastAsia" w:ascii="仿宋_GB2312" w:hAnsi="宋体" w:eastAsia="仿宋_GB2312"/>
          <w:b w:val="0"/>
          <w:bCs/>
          <w:sz w:val="32"/>
          <w:szCs w:val="32"/>
        </w:rPr>
        <w:cr/>
      </w:r>
      <w:r>
        <w:rPr>
          <w:rFonts w:hint="eastAsia" w:ascii="仿宋_GB2312" w:hAnsi="宋体" w:eastAsia="仿宋_GB2312"/>
          <w:b w:val="0"/>
          <w:bCs/>
          <w:sz w:val="32"/>
          <w:szCs w:val="32"/>
        </w:rPr>
        <w:t>　　2.预算调整情况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我单位年初批复预算数648.05万元，年中调整数147.50万元，调整后全年预算数795.55万元，预算调整率22.76%。</w:t>
      </w:r>
      <w:r>
        <w:rPr>
          <w:rFonts w:hint="eastAsia" w:ascii="仿宋_GB2312" w:hAnsi="宋体" w:eastAsia="仿宋_GB2312"/>
          <w:b w:val="0"/>
          <w:bCs/>
          <w:sz w:val="32"/>
          <w:szCs w:val="32"/>
        </w:rPr>
        <w:cr/>
      </w:r>
      <w:r>
        <w:rPr>
          <w:rFonts w:hint="eastAsia" w:ascii="仿宋_GB2312" w:hAnsi="宋体" w:eastAsia="仿宋_GB2312"/>
          <w:b w:val="0"/>
          <w:bCs/>
          <w:sz w:val="32"/>
          <w:szCs w:val="32"/>
        </w:rPr>
        <w:t xml:space="preserve">　　3.政府采购执行情况 </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年初政府采购预算数为83.4万元，实际政府采购数为81.5万元，政府采购执行率为97.72%。</w:t>
      </w:r>
      <w:r>
        <w:rPr>
          <w:rFonts w:hint="eastAsia" w:ascii="仿宋_GB2312" w:hAnsi="宋体" w:eastAsia="仿宋_GB2312"/>
          <w:b w:val="0"/>
          <w:bCs/>
          <w:sz w:val="32"/>
          <w:szCs w:val="32"/>
        </w:rPr>
        <w:cr/>
      </w:r>
      <w:r>
        <w:rPr>
          <w:rFonts w:hint="eastAsia" w:ascii="仿宋_GB2312" w:hAnsi="宋体" w:eastAsia="仿宋_GB2312"/>
          <w:b w:val="0"/>
          <w:bCs/>
          <w:sz w:val="32"/>
          <w:szCs w:val="32"/>
        </w:rPr>
        <w:t>　　（五）评价使用方法和主要内容、涉及范围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1.评价使用方法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评价主要采取比较法和调查法。一是比较法。对项目支出情况及建设后的产出及效果与项目实施计划目标进行比较，分析预计目标的完成程度。二是调查法（包括抽样调查、现场调查和问卷调查）。抽样调查是从评价项目中，抽取一部分内容进行实地考察和分析，并根据这部分内容的特征去推断项目全部的特征。现场调查是通过现场抽查、测量和检验等方法，对项目效益等指标进行复核性评价。问卷调查是针对项目区利益相关方实施的调查，并对调查结果进行统计、分析和评定。</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评价范围是对本单位整体支出从年度总体绩效目标、产出指标、效益指标、满意度指标等方面进行了全方位、多角度综合评价分析。</w:t>
      </w:r>
      <w:bookmarkStart w:id="0" w:name="_Hlk43849111"/>
      <w:bookmarkEnd w:id="0"/>
    </w:p>
    <w:p w14:paraId="5729C2AB">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2962B0DC">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为加强预算管理，规范财务行为，已制定《克州政协机关预算绩效管理工作实施办法》、《克州政协机关财务管理制度》、《克州政协机关办公用品管理办法》等健全完整的各项管理制度，有效保障了我单位高效的履行工作职能，较好的促进事业发展。</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部门预算资金使用符合国家法规和财务管理制度；预算资金拨付有完整的审批程序和手续，符合项目预算批复或合同规定的用途；不存在截留、挤占、挪用、虚列支出等情况，确保我单位预算资金规范运行。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2021年本单位基本支出全年预算总额763.06万元，其中：人员经费661.77万元，公用经费101.29万元。实际支出761.55万元，基本支出预算执行率99.80%。</w:t>
      </w:r>
      <w:r>
        <w:rPr>
          <w:rFonts w:hint="eastAsia" w:ascii="仿宋_GB2312" w:hAnsi="宋体" w:eastAsia="仿宋_GB2312"/>
          <w:b w:val="0"/>
          <w:bCs/>
          <w:sz w:val="32"/>
          <w:szCs w:val="32"/>
        </w:rPr>
        <w:cr/>
      </w:r>
      <w:r>
        <w:rPr>
          <w:rFonts w:hint="eastAsia" w:ascii="仿宋_GB2312" w:hAnsi="宋体" w:eastAsia="仿宋_GB2312"/>
          <w:b w:val="0"/>
          <w:bCs/>
          <w:sz w:val="32"/>
          <w:szCs w:val="32"/>
        </w:rPr>
        <w:t>　　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坚决贯彻落实中央、自治区、地委行署厉行勤俭办公的工作要求，提倡本单位全体干部职工，勤俭节约，切实降低行政运行成本，确保每年“三公经费”只减不增。2021年“三公经费”预算为19.49万元，实际支出14.39万元，“三公经费”控制率为73.83%，其中：因公出国（境）费预算为0万元，实际支出0万元；公务接待费预算为9.49万元，实际支出4.91万元，公务接待控制率51.74%；公务用车购置费预算为0万元，实际支出0万元；公务用车运行维护费预算为10万元，实际支出9.48万元，公务用车运行维护费控制率94.80%，符合财政部门本年预算要求和相关管理制度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（三）专项支出管理和使用情况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专项资金的使用符合国家法规和财务管理制度，专项资金拨付有完整的审批程序和手续，符合项目预算批复或合同规定的用途，不存在截留、挤占、挪用、虚列支出等情况。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2021年本单位安排专项支出预算总额34万元,实际支出34万元，专项支出预算执行率100%。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基层政协补助经费项目，全年预算数15万元，预算到位数15万元，预算执行数15万元，专项支出预算执行率100%。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群众工作经费项目，全年预算数7万元，预算到位数7万元，预算执行数7万元，专项支出预算执行率100%。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为民办实事和第一书记经费项目，全年预算数12万元，预算到位数12万元，预算执行数12万元，专项支出预算执行率100%。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2021年本单位共有3个资金项目，其中3个属经常性项目、已完成项目3个，专项支出预算执行率100%。</w:t>
      </w:r>
    </w:p>
    <w:p w14:paraId="2218D01D">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13A9AFF0">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本年我单位共实施3个项目，金额34万元，分别为群众工作经费项目7万元；为民办实事好事和第一书记经费项目12万元；1个自治区专项项目为基层政协补助经费项目15万元；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（一）项目专项组织情况分析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1.前期准备</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我单位成立专项支出绩效评价小组，成员如下：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刘开臣任评价组组长，职务为州政协党组成员、副主席、秘书长，绩效评价工作职责为负责全盘工作。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吐尔洪·塔什任评价组副组长，职务州政协副秘书长、机关党组成员，绩效评价工作职责为对项目实施情况进行实地调查。</w:t>
      </w:r>
      <w:r>
        <w:rPr>
          <w:rFonts w:hint="eastAsia" w:ascii="仿宋_GB2312" w:hAnsi="宋体" w:eastAsia="仿宋_GB2312"/>
          <w:b w:val="0"/>
          <w:bCs/>
          <w:sz w:val="32"/>
          <w:szCs w:val="32"/>
        </w:rPr>
        <w:cr/>
      </w:r>
      <w:r>
        <w:rPr>
          <w:rFonts w:hint="eastAsia" w:ascii="仿宋_GB2312" w:hAnsi="宋体" w:eastAsia="仿宋_GB2312"/>
          <w:b w:val="0"/>
          <w:bCs/>
          <w:sz w:val="32"/>
          <w:szCs w:val="32"/>
        </w:rPr>
        <w:t>　　周永先、尹良琴、阿曼吐尔·司提木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r>
        <w:rPr>
          <w:rFonts w:hint="eastAsia" w:ascii="仿宋_GB2312" w:hAnsi="宋体" w:eastAsia="仿宋_GB2312"/>
          <w:b w:val="0"/>
          <w:bCs/>
          <w:sz w:val="32"/>
          <w:szCs w:val="32"/>
        </w:rPr>
        <w:cr/>
      </w:r>
      <w:r>
        <w:rPr>
          <w:rFonts w:hint="eastAsia" w:ascii="仿宋_GB2312" w:hAnsi="宋体" w:eastAsia="仿宋_GB2312"/>
          <w:b w:val="0"/>
          <w:bCs/>
          <w:sz w:val="32"/>
          <w:szCs w:val="32"/>
        </w:rPr>
        <w:t>　　2.组织实施</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r>
        <w:rPr>
          <w:rFonts w:hint="eastAsia" w:ascii="仿宋_GB2312" w:hAnsi="宋体" w:eastAsia="仿宋_GB2312"/>
          <w:b w:val="0"/>
          <w:bCs/>
          <w:sz w:val="32"/>
          <w:szCs w:val="32"/>
        </w:rPr>
        <w:cr/>
      </w:r>
      <w:r>
        <w:rPr>
          <w:rFonts w:hint="eastAsia" w:ascii="仿宋_GB2312" w:hAnsi="宋体" w:eastAsia="仿宋_GB2312"/>
          <w:b w:val="0"/>
          <w:bCs/>
          <w:sz w:val="32"/>
          <w:szCs w:val="32"/>
        </w:rPr>
        <w:t>　　（四）专项管理情况分析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1.项目资金情况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该项目预算资金34万元，实际到位34万元，实际支出34万元。到位足额及时，预算编制依据充分，预算编制准确，资金不存在截留、挪用，支付审批合规、不存在用途改变、范围超支和虚列项目支出等情况；本项目严格按照《克州政协机关财务管理制度》执行项目资金，实行专账核算、逐级审批。认真落实项目资金的使用各项管理制度，确保专款专用，及时拨付到位。</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2.项目实施情况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组织情况：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项目管理情况：根据《项目绩效管理办法》及单位相关项目管理制度的规定，对项目的实施进行监督管理。建立健全项目后续各项监督管理制度，确保项目正常运转，长期发挥效益。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项目监管情况：不定期对项目进度和质量等进行监督检查，并且组织开展多种形式的监督检查，以加强日常监管为主，自查、随机抽查、专项检查等方式进行。对检查中发现的问题，及时纠正。</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3.项目绩效情况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成本控制情况：严格按照相关的专项资金管理办法，实行多重审批控制专项经费的支出。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成本节约情况：项目根据实际情况做出合理预算，支出严格控制在预算范围内，本着节约成本，防止资源浪费的原则将项目成效最大化。</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4.项目效率性</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项目实施进度：项目实施紧扣各个环节，逐步推进，及时与职能部门跟踪项目进展，加强项目督办，充分调动职能部门的积极性，加大项目投入工作的力度，加快项目实施进度。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项目完成质量：项目严格按照年度预期目标执行，项目完成质量达标。</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5.项目效益性</w:t>
      </w:r>
      <w:r>
        <w:rPr>
          <w:rFonts w:hint="eastAsia" w:ascii="仿宋_GB2312" w:hAnsi="宋体" w:eastAsia="仿宋_GB2312"/>
          <w:b w:val="0"/>
          <w:bCs/>
          <w:sz w:val="32"/>
          <w:szCs w:val="32"/>
        </w:rPr>
        <w:cr/>
      </w:r>
      <w:r>
        <w:rPr>
          <w:rFonts w:hint="eastAsia" w:ascii="仿宋_GB2312" w:hAnsi="宋体" w:eastAsia="仿宋_GB2312"/>
          <w:b w:val="0"/>
          <w:bCs/>
          <w:sz w:val="32"/>
          <w:szCs w:val="32"/>
        </w:rPr>
        <w:t>　　预期目标完成程度：按预定目标完成了年初所设定的各项指标。专项经费实际支出未超出预算规定，保障了专项工作的开展。</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项目实施对效益的影响：项目的实施有效提升了培训人员的爱国主义意识，持续保障了培训工作的顺利开展。</w:t>
      </w:r>
    </w:p>
    <w:p w14:paraId="69E783D3">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7708CE28">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（一）资产管理规范性</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2021年资产合计数为367.88万元，其中：货币资金5.88万元，比上年减少0.5万元，主要原因是及时支付相关费用；财政应返还额度0万元，比上年相比无变化；车辆7辆207.65万元，与上年相比无变化；办公设备及家具154.35万元，与上年相比增加25.73万元。主要是将保密局无偿划拨的办公设备及时入账;在固定资产盘点中发现许多固定资产已经到了报废年限和一些固定资产老旧向相关部门申请报废了一批固定资产；为便于固定资产的管理和使用，将为驻村工作队购买的固定资产进行资产无偿划拨手续。资产配置合理，使用规范，安全完整。</w:t>
      </w:r>
      <w:r>
        <w:rPr>
          <w:rFonts w:hint="eastAsia" w:ascii="仿宋_GB2312" w:hAnsi="宋体" w:eastAsia="仿宋_GB2312"/>
          <w:b w:val="0"/>
          <w:bCs/>
          <w:sz w:val="32"/>
          <w:szCs w:val="32"/>
        </w:rPr>
        <w:cr/>
      </w:r>
      <w:r>
        <w:rPr>
          <w:rFonts w:hint="eastAsia" w:ascii="仿宋_GB2312" w:hAnsi="宋体" w:eastAsia="仿宋_GB2312"/>
          <w:b w:val="0"/>
          <w:bCs/>
          <w:sz w:val="32"/>
          <w:szCs w:val="32"/>
        </w:rPr>
        <w:t>　　1.资产管理情况。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r>
        <w:rPr>
          <w:rFonts w:hint="eastAsia" w:ascii="仿宋_GB2312" w:hAnsi="宋体" w:eastAsia="仿宋_GB2312"/>
          <w:b w:val="0"/>
          <w:bCs/>
          <w:sz w:val="32"/>
          <w:szCs w:val="32"/>
        </w:rPr>
        <w:cr/>
      </w:r>
      <w:r>
        <w:rPr>
          <w:rFonts w:hint="eastAsia" w:ascii="仿宋_GB2312" w:hAnsi="宋体" w:eastAsia="仿宋_GB2312"/>
          <w:b w:val="0"/>
          <w:bCs/>
          <w:sz w:val="32"/>
          <w:szCs w:val="32"/>
        </w:rPr>
        <w:t>　　2.固定资产利用情况。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我单位固定资产362万元,其中:7辆车207.65万元，7台专用设备3.08万元，396个办公设备151.27万元。目前正在使用的固定资产总额362万元，固定资产利用率为100%。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3.流动资产管理情况。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r>
        <w:rPr>
          <w:rFonts w:hint="eastAsia" w:ascii="仿宋_GB2312" w:hAnsi="宋体" w:eastAsia="仿宋_GB2312"/>
          <w:b w:val="0"/>
          <w:bCs/>
          <w:sz w:val="32"/>
          <w:szCs w:val="32"/>
        </w:rPr>
        <w:cr/>
      </w:r>
      <w:r>
        <w:rPr>
          <w:rFonts w:hint="eastAsia" w:ascii="仿宋_GB2312" w:hAnsi="宋体" w:eastAsia="仿宋_GB2312"/>
          <w:b w:val="0"/>
          <w:bCs/>
          <w:sz w:val="32"/>
          <w:szCs w:val="32"/>
        </w:rPr>
        <w:t>　　（二）固定资产利用率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截止本年度固定资产账面净值78.13万元，年末实际在用固定资产78.13万元，固定资产利用率为100%。</w:t>
      </w:r>
    </w:p>
    <w:p w14:paraId="48E116E9">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1D59F967">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部门单位整体支出自评表，共设置一级指标3个，二级指标7个，三级指标18个。</w:t>
      </w:r>
      <w:r>
        <w:rPr>
          <w:rFonts w:hint="eastAsia" w:ascii="仿宋_GB2312" w:hAnsi="宋体" w:eastAsia="仿宋_GB2312"/>
          <w:b w:val="0"/>
          <w:bCs/>
          <w:sz w:val="32"/>
          <w:szCs w:val="32"/>
        </w:rPr>
        <w:cr/>
      </w:r>
      <w:r>
        <w:rPr>
          <w:rFonts w:hint="eastAsia" w:ascii="仿宋_GB2312" w:hAnsi="宋体" w:eastAsia="仿宋_GB2312"/>
          <w:b w:val="0"/>
          <w:bCs/>
          <w:sz w:val="32"/>
          <w:szCs w:val="32"/>
        </w:rPr>
        <w:t>　　（一）产出指标完成情况分析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1.产出数量</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“保障政协人员人数工作经费”人数指标，预期指标是大于等于72人，实际完成值是72人，指标完成率是100%，达到预期目标。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“办公用品和设备”，预期指标是大于等于32批，实际完成值是32批，指标完成率是100%，达到预期目标。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“发挥基层政协委员的作用，组织政协委员调研”，预期指标是大于等于28次，实际完成值是28次，指标完成率是100%，达到预期目标。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“车辆运行维护和保险”预期指标是大于等于78次，实际完成值是78次，指标完成率是100%，达到预期目标。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“各类会议”预期指标是大于等于20场次，实际完成值是20场次，指标完成率是100%，达到预期目标。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“公务接待次数”预期指标是大于等于20次，实际完成值是20场次，指标完成率是100%，达到预期目标。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“群众工作经费联谊活动、慰问”期指标是大于等于20次，实际完成值是20场次，指标完成率是100%，达到预期目标。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数量指标共计7个，完成7个，达到预期目标，数量指标完成。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2.产出质量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“经费保障运行率”指标，预期指标是等于100%，实际完成值是100%，指标完成率是100%，达到质量提升及标准。</w:t>
      </w:r>
      <w:r>
        <w:rPr>
          <w:rFonts w:hint="eastAsia" w:ascii="仿宋_GB2312" w:hAnsi="宋体" w:eastAsia="仿宋_GB2312"/>
          <w:b w:val="0"/>
          <w:bCs/>
          <w:sz w:val="32"/>
          <w:szCs w:val="32"/>
        </w:rPr>
        <w:cr/>
      </w:r>
      <w:r>
        <w:rPr>
          <w:rFonts w:hint="eastAsia" w:ascii="仿宋_GB2312" w:hAnsi="宋体" w:eastAsia="仿宋_GB2312"/>
          <w:b w:val="0"/>
          <w:bCs/>
          <w:sz w:val="32"/>
          <w:szCs w:val="32"/>
        </w:rPr>
        <w:t>　　质量指标共计1个，完成1个，达到质量提升及标准。质量指标完成。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3.产出进度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经费支出及时性指标，预期指标是等于100%，实际完成值是100%，指标完成率是100%，达到预期目标。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时效指标共计1个，完成1个，达达到预期目标，数量指标完成。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4.产出成本</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“保障人员经费”预期指标是小于等于545.01万元，实际完成值是545.01万元，指标完成率是100%，达到成本控制及改善目标。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“公用经费”资金总金额指标，预期指标是小于等于77.04万元，实际完成值是77.04万元，指标完成率是100%，达到成本控制及改善目标。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“为民办实事好事和第一书记经费”预期指标是小于等于12万元，实际完成值是12万元，指标完成率是100%，达到成本控制及改善目标。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“群众工作经费”预期指标是小于等于7万元，实际完成值是7万元，指标完成率是100%，达到成本控制及改善目标。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“基层政协补助经费”预期指标是小于等于7万元，实际完成值是7万元，指标完成率是100%，达到成本控制及改善目标。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成本指标共计5个，完成5个，达到成本控制及改善目标，成本指标完成。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（二）效益指标完成情况分析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1.项目实施的经济效益分析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无。</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2.项目实施的社会效益分析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提高政协参政议政的质量和水平，确保了政协工作的高效有序运转指标，预期指标是有效提升，实际完成值是有效提升，指标完成率是100%，达到单位履职能力对社会带来的影响预期目标。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社会效益指标共计1个，完成1个，达到单位履职能力对社会带来的影响预期目标，社会效益指标完成。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3.项目实施的生态效益分析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无。</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4.项目实施的可持续影响分析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切实做好政协委员服务管理工作指标，预期指标是持续保障，实际完成值是持续保障，指标完成率是100%，实现部门绩效长效机制建设，提高工作效率目标。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可持续影响指标共计1个，完成1个，达到预期目标，可持续影响指标完成。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（三）满意度指标完成情况分析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按计划完成项目实施，已做满意度调查抽样问卷，具体如下：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受益工作人员满意度指标，预期指标是大于等于95%，实际完成值是95%，指标完成率是100%，达到部门（单位）服务对象对部门履职效果的满意度。</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受益群众满意度指标，预期指标是大于等于95%，实际完成值是95%，指标完成率是100%，达到服务对象对部门履职效果的满意度。</w:t>
      </w:r>
      <w:r>
        <w:rPr>
          <w:rFonts w:hint="eastAsia" w:ascii="仿宋_GB2312" w:hAnsi="宋体" w:eastAsia="仿宋_GB2312"/>
          <w:b w:val="0"/>
          <w:bCs/>
          <w:sz w:val="32"/>
          <w:szCs w:val="32"/>
        </w:rPr>
        <w:cr/>
      </w:r>
      <w:r>
        <w:rPr>
          <w:rFonts w:hint="eastAsia" w:ascii="仿宋_GB2312" w:hAnsi="宋体" w:eastAsia="仿宋_GB2312"/>
          <w:b w:val="0"/>
          <w:bCs/>
          <w:sz w:val="32"/>
          <w:szCs w:val="32"/>
        </w:rPr>
        <w:t>　　满意度指标共计2个，完成个，达到服务对象对部门履职效果的满意度，服务对象满意度指标完成。</w:t>
      </w:r>
    </w:p>
    <w:p w14:paraId="41BDE4C0">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4B6BF405">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绩效指标的明确性、可衡量性、相关性还需进一步提升。预算精细化管理还需完善，预算编制管理水平仍有进一步提升的空间。</w:t>
      </w:r>
    </w:p>
    <w:p w14:paraId="0200056A">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3ADCC78A">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A7BA4B"/>
    <w:multiLevelType w:val="singleLevel"/>
    <w:tmpl w:val="F6A7BA4B"/>
    <w:lvl w:ilvl="0" w:tentative="0">
      <w:start w:val="1"/>
      <w:numFmt w:val="chineseCounting"/>
      <w:suff w:val="nothing"/>
      <w:lvlText w:val="（%1）"/>
      <w:lvlJc w:val="left"/>
      <w:rPr>
        <w:rFonts w:hint="eastAsia"/>
      </w:rPr>
    </w:lvl>
  </w:abstractNum>
  <w:abstractNum w:abstractNumId="1">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121B3A"/>
    <w:rsid w:val="108622B3"/>
    <w:rsid w:val="1438599A"/>
    <w:rsid w:val="200F4073"/>
    <w:rsid w:val="24B86128"/>
    <w:rsid w:val="51C70EA9"/>
    <w:rsid w:val="54F842B6"/>
    <w:rsid w:val="5A4C3A1B"/>
    <w:rsid w:val="5A580205"/>
    <w:rsid w:val="656071F2"/>
    <w:rsid w:val="6BF1756B"/>
    <w:rsid w:val="6F5E1AA3"/>
    <w:rsid w:val="7F200B83"/>
    <w:rsid w:val="7F35683E"/>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8221</Words>
  <Characters>8624</Characters>
  <Lines>2</Lines>
  <Paragraphs>1</Paragraphs>
  <TotalTime>0</TotalTime>
  <ScaleCrop>false</ScaleCrop>
  <LinksUpToDate>false</LinksUpToDate>
  <CharactersWithSpaces>8913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盛夏之末√</cp:lastModifiedBy>
  <dcterms:modified xsi:type="dcterms:W3CDTF">2025-07-31T03:21:21Z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4E2A216151A24EE5A190066F518526B7</vt:lpwstr>
  </property>
  <property fmtid="{D5CDD505-2E9C-101B-9397-08002B2CF9AE}" pid="4" name="KSOTemplateDocerSaveRecord">
    <vt:lpwstr>eyJoZGlkIjoiZjFmZWIzNDg2MmIzZjExOTIzMmViNTBmYTMwYTk0ZWYiLCJ1c2VySWQiOiI0MzIyODY2NzMifQ==</vt:lpwstr>
  </property>
</Properties>
</file>